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8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812"/>
        <w:gridCol w:w="5568"/>
        <w:gridCol w:w="1683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87" w:type="dxa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面试职位</w:t>
            </w:r>
          </w:p>
        </w:tc>
        <w:tc>
          <w:tcPr>
            <w:tcW w:w="168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面试考场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3月9日 （周五）</w:t>
            </w:r>
          </w:p>
        </w:tc>
        <w:tc>
          <w:tcPr>
            <w:tcW w:w="81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上午9:00</w:t>
            </w: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联络部科员 （100310007001）</w:t>
            </w:r>
          </w:p>
        </w:tc>
        <w:tc>
          <w:tcPr>
            <w:tcW w:w="1683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办公楼南楼 803会议室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下午13:30</w:t>
            </w: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宣传部新闻宣传处主任科员及以下 （100310003002）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国务院妇女儿童工作委员会办公室综合协调处主任科员及以下（100310009002）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3月10日（周六）</w:t>
            </w:r>
          </w:p>
        </w:tc>
        <w:tc>
          <w:tcPr>
            <w:tcW w:w="812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上午9:00</w:t>
            </w: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办公厅电子政务与网络建设岗（100310001005）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离退休干部局老龄工作办公室主任科员及以下（100310010004）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下午13:30</w:t>
            </w: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家庭和儿童工作部综合协调处主任科员及以下（100310006001）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家庭和儿童工作部家庭工作处主任科员及以下（100310006002）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3月11日（周日）</w:t>
            </w:r>
          </w:p>
        </w:tc>
        <w:tc>
          <w:tcPr>
            <w:tcW w:w="812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上午9:00</w:t>
            </w: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组织部组织建设综合岗 （100310002005）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组织部干部人事管理综合岗 （100310002006）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下午13:30</w:t>
            </w: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权益部协调处主任科员及以下 （100310005002）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5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12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56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权益部法规处主任科员及以下 （100310005003）</w:t>
            </w:r>
          </w:p>
        </w:tc>
        <w:tc>
          <w:tcPr>
            <w:tcW w:w="1683" w:type="dxa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8274E"/>
    <w:rsid w:val="503C316F"/>
    <w:rsid w:val="69935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姜文柱</dc:creator>
  <cp:lastModifiedBy>在路上</cp:lastModifiedBy>
  <dcterms:modified xsi:type="dcterms:W3CDTF">2018-02-23T01:19:10Z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