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rPr>
          <w:rFonts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b/>
          <w:bCs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2018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</w:rPr>
        <w:t>太湖局所属事业单位公开招聘工作人员计划表</w:t>
      </w:r>
    </w:p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3"/>
        <w:tblW w:w="94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3"/>
        <w:gridCol w:w="2160"/>
        <w:gridCol w:w="750"/>
        <w:gridCol w:w="1620"/>
        <w:gridCol w:w="1095"/>
        <w:gridCol w:w="750"/>
        <w:gridCol w:w="1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职位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职位简介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水文局</w:t>
            </w: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  <w:t>（信息中心）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从事会计核算和审核、国库集中支付、预算和决算报表编制及财务管理等工作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财务管理、会计、审计等相关专业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宋体"/>
                <w:kern w:val="0"/>
                <w:szCs w:val="21"/>
                <w:lang w:eastAsia="zh-CN"/>
              </w:rPr>
              <w:t>中共党员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水文水资源管理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负责水文情报预报、水文水资源分析评价等工作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水文与水资源工程、水文学及水资源、河流动力学、水利工程等相关专业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太湖流域水文水资源监测中心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水文水资源调查与评价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主要从事水文水资源调查评价及水资源规划编制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水文水资源相关专业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水质分析与评价研究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主要从事水环境监测评价及相关研究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化学分析、环境监测相关专业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主要从事水利信息化项目规划、建设及运行维护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计算机、电子信息、水文水资源、水环境相关专业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水利发展研究中心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综合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主要从事行政管理等工作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管理科学与工程、水利相关专业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中共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党员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规划前期、战略研究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主要从事流域规划前期、技术咨询服务等工作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水利工程或涉水相关工程专业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中共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党员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需经常参加工程勘察及野外调研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苏州管理局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从事财务稽核、政府采购、资产管理等工作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财务财会类、审计类相关专业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仅限本科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水利工程技术管理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从事防汛抗旱、工程管理、水政水资源、安全生产等工作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水利工程类、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建筑工程类、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安全生产类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在工程管理所工作，需参与防汛值班、工程维护及野外作业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机电及通讯设备运行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从事机电及通讯设备运行管理、工程维护、水工观测等工作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机电控制类、计算机（网络管理）类、电子信息类、测绘类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大专及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  <w:t>在工程管理所工作，需参与防汛值班、工程维护及野外作业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标准公文_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653C4"/>
    <w:rsid w:val="11AD246E"/>
    <w:rsid w:val="289B6690"/>
    <w:rsid w:val="3F6653C4"/>
    <w:rsid w:val="4031236D"/>
    <w:rsid w:val="47D12C01"/>
    <w:rsid w:val="7E791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2018-01-07T13:12:00Z</dcterms:created>
  <dc:creator>邹馥庆</dc:creator>
  <cp:lastModifiedBy>邹馥庆</cp:lastModifiedBy>
  <dcterms:modified xsi:type="dcterms:W3CDTF">2018-01-11T01:50:52Z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