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FFFFFF" w:fill="FFFFFF"/>
        <w:spacing w:before="0" w:beforeAutospacing="0" w:after="0" w:afterAutospacing="0"/>
        <w:jc w:val="both"/>
        <w:rPr>
          <w:rFonts w:ascii="楷体_GB2312" w:hAnsi="仿宋" w:eastAsia="楷体_GB2312" w:cs="仿宋"/>
        </w:rPr>
      </w:pPr>
      <w:r>
        <w:rPr>
          <w:rFonts w:hint="eastAsia" w:ascii="楷体_GB2312" w:hAnsi="仿宋" w:eastAsia="楷体_GB2312" w:cs="仿宋"/>
        </w:rPr>
        <w:t>附件1：</w:t>
      </w:r>
    </w:p>
    <w:p>
      <w:pPr>
        <w:pStyle w:val="2"/>
        <w:shd w:val="clear" w:color="FFFFFF" w:fill="FFFFFF"/>
        <w:spacing w:before="0" w:beforeAutospacing="0" w:after="0" w:afterAutospacing="0"/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2022年安庆市跨境电子商务综合试验区管理服务中心公开选调</w:t>
      </w:r>
      <w:r>
        <w:rPr>
          <w:rFonts w:hint="eastAsia"/>
          <w:sz w:val="44"/>
          <w:szCs w:val="44"/>
          <w:lang w:eastAsia="zh-CN"/>
        </w:rPr>
        <w:t>工作</w:t>
      </w:r>
      <w:r>
        <w:rPr>
          <w:rFonts w:hint="eastAsia"/>
          <w:sz w:val="44"/>
          <w:szCs w:val="44"/>
        </w:rPr>
        <w:t>人员岗位信息表</w:t>
      </w:r>
    </w:p>
    <w:bookmarkEnd w:id="0"/>
    <w:tbl>
      <w:tblPr>
        <w:tblStyle w:val="4"/>
        <w:tblpPr w:leftFromText="180" w:rightFromText="180" w:vertAnchor="text" w:horzAnchor="page" w:tblpX="1486" w:tblpY="782"/>
        <w:tblW w:w="134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125"/>
        <w:gridCol w:w="1335"/>
        <w:gridCol w:w="615"/>
        <w:gridCol w:w="2100"/>
        <w:gridCol w:w="1335"/>
        <w:gridCol w:w="2190"/>
        <w:gridCol w:w="1755"/>
        <w:gridCol w:w="2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序号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选调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单位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楷体" w:hAnsi="楷体" w:eastAsia="楷体" w:cs="仿宋"/>
                <w:b/>
                <w:lang w:eastAsia="zh-CN"/>
              </w:rPr>
            </w:pPr>
            <w:r>
              <w:rPr>
                <w:rFonts w:hint="eastAsia" w:ascii="楷体" w:hAnsi="楷体" w:eastAsia="楷体" w:cs="仿宋"/>
                <w:b/>
                <w:lang w:eastAsia="zh-CN"/>
              </w:rPr>
              <w:t>选调岗位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名额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岗位简介</w:t>
            </w:r>
          </w:p>
        </w:tc>
        <w:tc>
          <w:tcPr>
            <w:tcW w:w="7365" w:type="dxa"/>
            <w:gridSpan w:val="4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选调条件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15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楷体" w:hAnsi="楷体" w:eastAsia="楷体" w:cs="仿宋"/>
                <w:b/>
                <w:lang w:eastAsia="zh-CN"/>
              </w:rPr>
            </w:pPr>
            <w:r>
              <w:rPr>
                <w:rFonts w:hint="eastAsia" w:ascii="楷体" w:hAnsi="楷体" w:eastAsia="楷体" w:cs="仿宋"/>
                <w:b/>
                <w:lang w:eastAsia="zh-CN"/>
              </w:rPr>
              <w:t>现任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楷体" w:hAnsi="楷体" w:eastAsia="楷体" w:cs="仿宋"/>
                <w:b/>
                <w:lang w:eastAsia="zh-CN"/>
              </w:rPr>
            </w:pPr>
            <w:r>
              <w:rPr>
                <w:rFonts w:hint="eastAsia" w:ascii="楷体" w:hAnsi="楷体" w:eastAsia="楷体" w:cs="仿宋"/>
                <w:b/>
                <w:lang w:eastAsia="zh-CN"/>
              </w:rPr>
              <w:t>职务</w:t>
            </w:r>
          </w:p>
        </w:tc>
        <w:tc>
          <w:tcPr>
            <w:tcW w:w="2190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专业类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年龄</w:t>
            </w:r>
          </w:p>
        </w:tc>
        <w:tc>
          <w:tcPr>
            <w:tcW w:w="2085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市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eastAsia="zh-CN"/>
              </w:rPr>
              <w:t>商务局（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安庆市跨境电子商务综合试验区管理服务中心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3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副科级</w:t>
            </w:r>
          </w:p>
        </w:tc>
        <w:tc>
          <w:tcPr>
            <w:tcW w:w="61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eastAsia="zh-CN"/>
              </w:rPr>
              <w:t>从事跨境电商行业管理和企业服务工作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eastAsia="zh-CN"/>
              </w:rPr>
              <w:t>副科级</w:t>
            </w:r>
          </w:p>
        </w:tc>
        <w:tc>
          <w:tcPr>
            <w:tcW w:w="21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7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4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周岁以下（19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82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年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月1日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eastAsia="zh-CN"/>
              </w:rPr>
              <w:t>以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后出生）</w:t>
            </w:r>
          </w:p>
        </w:tc>
        <w:tc>
          <w:tcPr>
            <w:tcW w:w="208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lang w:eastAsia="zh-CN"/>
              </w:rPr>
            </w:pPr>
          </w:p>
          <w:p>
            <w:pPr>
              <w:pStyle w:val="2"/>
              <w:spacing w:before="0" w:beforeAutospacing="0" w:after="0" w:afterAutospacing="0"/>
              <w:jc w:val="left"/>
              <w:rPr>
                <w:rFonts w:hint="eastAsia" w:ascii="仿宋_GB2312" w:hAnsi="仿宋" w:eastAsia="仿宋_GB2312" w:cs="仿宋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FF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eastAsia="zh-CN"/>
              </w:rPr>
              <w:t>本科及以上</w:t>
            </w:r>
            <w:r>
              <w:rPr>
                <w:rFonts w:hint="eastAsia" w:ascii="仿宋_GB2312" w:hAnsi="仿宋" w:eastAsia="仿宋_GB2312" w:cs="仿宋"/>
                <w:color w:val="FF0000"/>
                <w:sz w:val="22"/>
                <w:szCs w:val="22"/>
                <w:lang w:val="en-US" w:eastAsia="zh-CN"/>
              </w:rPr>
              <w:t xml:space="preserve">              </w:t>
            </w:r>
          </w:p>
          <w:p>
            <w:pPr>
              <w:pStyle w:val="2"/>
              <w:spacing w:before="0" w:beforeAutospacing="0" w:after="0" w:afterAutospacing="0"/>
              <w:jc w:val="left"/>
              <w:rPr>
                <w:rFonts w:hint="default" w:ascii="仿宋_GB2312" w:hAnsi="仿宋" w:eastAsia="仿宋_GB2312" w:cs="仿宋"/>
                <w:color w:val="FF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科员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（综合岗）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仿宋_GB2312" w:hAnsi="仿宋" w:eastAsia="仿宋_GB2312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eastAsia="zh-CN"/>
              </w:rPr>
              <w:t>从事综合性工作</w:t>
            </w: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科员</w:t>
            </w:r>
          </w:p>
        </w:tc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2"/>
                <w:szCs w:val="22"/>
                <w:lang w:eastAsia="zh-CN"/>
              </w:rPr>
              <w:t>中国语言文学类（专业代码</w:t>
            </w:r>
            <w:r>
              <w:rPr>
                <w:rFonts w:hint="eastAsia" w:ascii="仿宋_GB2312" w:hAnsi="仿宋" w:eastAsia="仿宋_GB2312" w:cs="仿宋"/>
                <w:b/>
                <w:bCs/>
                <w:sz w:val="22"/>
                <w:szCs w:val="22"/>
                <w:lang w:val="en-US" w:eastAsia="zh-CN"/>
              </w:rPr>
              <w:t>0501</w:t>
            </w:r>
            <w:r>
              <w:rPr>
                <w:rFonts w:hint="eastAsia" w:ascii="仿宋_GB2312" w:hAnsi="仿宋" w:eastAsia="仿宋_GB2312" w:cs="仿宋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仿宋_GB2312" w:hAnsi="仿宋" w:eastAsia="仿宋_GB2312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35周岁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以下（19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87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年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月1日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eastAsia="zh-CN"/>
              </w:rPr>
              <w:t>以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后出生）</w:t>
            </w:r>
          </w:p>
        </w:tc>
        <w:tc>
          <w:tcPr>
            <w:tcW w:w="20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left"/>
              <w:rPr>
                <w:rFonts w:hint="eastAsia" w:ascii="仿宋_GB2312" w:hAnsi="仿宋" w:eastAsia="仿宋_GB2312" w:cs="仿宋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eastAsia="zh-CN"/>
              </w:rPr>
              <w:t>全日制本科及以上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科员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（业务岗）</w:t>
            </w:r>
          </w:p>
        </w:tc>
        <w:tc>
          <w:tcPr>
            <w:tcW w:w="615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仿宋_GB2312" w:hAnsi="仿宋" w:eastAsia="仿宋_GB2312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eastAsia="zh-CN"/>
              </w:rPr>
              <w:t>从事跨境电商行业运行监测和综合分析、企业服务等工作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科员</w:t>
            </w:r>
          </w:p>
        </w:tc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仿宋_GB2312" w:hAnsi="仿宋" w:eastAsia="仿宋_GB2312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2"/>
                <w:szCs w:val="22"/>
                <w:lang w:eastAsia="zh-CN"/>
              </w:rPr>
              <w:t>经济学类（本科专业代码</w:t>
            </w:r>
            <w:r>
              <w:rPr>
                <w:rFonts w:hint="eastAsia" w:ascii="仿宋_GB2312" w:hAnsi="仿宋" w:eastAsia="仿宋_GB2312" w:cs="仿宋"/>
                <w:b/>
                <w:bCs/>
                <w:sz w:val="22"/>
                <w:szCs w:val="22"/>
                <w:lang w:val="en-US" w:eastAsia="zh-CN"/>
              </w:rPr>
              <w:t>0201；研究生专业代码02）</w:t>
            </w:r>
            <w:r>
              <w:rPr>
                <w:rFonts w:hint="eastAsia" w:ascii="仿宋_GB2312" w:hAnsi="仿宋" w:eastAsia="仿宋_GB2312" w:cs="仿宋"/>
                <w:b/>
                <w:bCs/>
                <w:sz w:val="22"/>
                <w:szCs w:val="22"/>
                <w:lang w:eastAsia="zh-CN"/>
              </w:rPr>
              <w:t>、电子商务类（专业代码</w:t>
            </w:r>
            <w:r>
              <w:rPr>
                <w:rFonts w:hint="eastAsia" w:ascii="仿宋_GB2312" w:hAnsi="仿宋" w:eastAsia="仿宋_GB2312" w:cs="仿宋"/>
                <w:b/>
                <w:bCs/>
                <w:sz w:val="22"/>
                <w:szCs w:val="22"/>
                <w:lang w:val="en-US" w:eastAsia="zh-CN"/>
              </w:rPr>
              <w:t>1208）</w:t>
            </w:r>
          </w:p>
        </w:tc>
        <w:tc>
          <w:tcPr>
            <w:tcW w:w="175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left"/>
              <w:rPr>
                <w:rFonts w:hint="default" w:ascii="仿宋_GB2312" w:hAnsi="仿宋" w:eastAsia="仿宋_GB2312" w:cs="仿宋"/>
                <w:color w:val="FF0000"/>
                <w:sz w:val="22"/>
                <w:szCs w:val="22"/>
                <w:lang w:val="en-US" w:eastAsia="zh-CN"/>
              </w:rPr>
            </w:pPr>
          </w:p>
        </w:tc>
      </w:tr>
    </w:tbl>
    <w:p>
      <w:pPr>
        <w:pStyle w:val="2"/>
        <w:shd w:val="clear" w:color="FFFFFF" w:fill="FFFFFF"/>
        <w:spacing w:before="0" w:beforeAutospacing="0" w:after="0" w:afterAutospacing="0"/>
        <w:rPr>
          <w:sz w:val="44"/>
          <w:szCs w:val="4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60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20238"/>
    <w:rsid w:val="7DC2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294</Characters>
  <Lines>0</Lines>
  <Paragraphs>0</Paragraphs>
  <TotalTime>2</TotalTime>
  <ScaleCrop>false</ScaleCrop>
  <LinksUpToDate>false</LinksUpToDate>
  <CharactersWithSpaces>309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2022-04-25T08:23:00Z</dcterms:created>
  <dc:creator>LIO</dc:creator>
  <cp:lastModifiedBy>LIO</cp:lastModifiedBy>
  <dcterms:modified xsi:type="dcterms:W3CDTF">2022-04-25T08:25:25Z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BADEC569F35544318965387A0834D4B2</vt:lpwstr>
  </property>
  <property fmtid="{D5CDD505-2E9C-101B-9397-08002B2CF9AE}" pid="4" name="commondata">
    <vt:lpwstr>eyJoZGlkIjoiMTZhN2Q1Nzg0ZTI3MTk2ZDU2OWFhMTk0YTRiYzRiMGEifQ==</vt:lpwstr>
  </property>
</Properties>
</file>